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D8B" w:rsidRDefault="00B06D8B" w:rsidP="00D02449">
      <w:pPr>
        <w:pStyle w:val="Title"/>
      </w:pPr>
      <w:r>
        <w:t xml:space="preserve">PUC DOCKET NO. </w:t>
      </w:r>
      <w:r w:rsidR="00D02C7D">
        <w:t>46438</w:t>
      </w:r>
      <w:r>
        <w:br/>
      </w:r>
      <w:r w:rsidR="00D02449">
        <w:t xml:space="preserve"> </w:t>
      </w:r>
      <w:r>
        <w:t>SOAH DOCKET NO. 473-</w:t>
      </w:r>
      <w:r w:rsidR="00D02C7D">
        <w:t>17</w:t>
      </w:r>
      <w:r w:rsidRPr="00BD7A91">
        <w:t>-</w:t>
      </w:r>
      <w:r w:rsidR="00D02C7D">
        <w:t>2372.WS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B06D8B" w:rsidTr="0015200A">
        <w:tc>
          <w:tcPr>
            <w:tcW w:w="4608" w:type="dxa"/>
          </w:tcPr>
          <w:p w:rsidR="00B06D8B" w:rsidRDefault="00D02449" w:rsidP="00D02449">
            <w:pPr>
              <w:pStyle w:val="Docketstyle"/>
            </w:pPr>
            <w:r>
              <w:t>APPLICATION OF J&amp;S WATER COMPANY, LLC, FOR A RATE/TARIFF CHANGE</w:t>
            </w:r>
          </w:p>
        </w:tc>
        <w:tc>
          <w:tcPr>
            <w:tcW w:w="360" w:type="dxa"/>
          </w:tcPr>
          <w:p w:rsidR="00B06D8B" w:rsidRDefault="00B06D8B" w:rsidP="0015200A">
            <w:pPr>
              <w:pStyle w:val="Docketstyle"/>
            </w:pPr>
            <w:r>
              <w:t>§</w:t>
            </w:r>
          </w:p>
          <w:p w:rsidR="00B06D8B" w:rsidRDefault="00B06D8B" w:rsidP="0015200A">
            <w:pPr>
              <w:pStyle w:val="Docketstyle"/>
            </w:pPr>
            <w:r>
              <w:t>§</w:t>
            </w:r>
          </w:p>
          <w:p w:rsidR="00B06D8B" w:rsidRDefault="00B06D8B" w:rsidP="0015200A">
            <w:pPr>
              <w:pStyle w:val="Docketstyle"/>
            </w:pPr>
            <w:r>
              <w:t>§</w:t>
            </w:r>
          </w:p>
        </w:tc>
        <w:tc>
          <w:tcPr>
            <w:tcW w:w="4392" w:type="dxa"/>
          </w:tcPr>
          <w:p w:rsidR="00B06D8B" w:rsidRDefault="00B06D8B" w:rsidP="0015200A">
            <w:pPr>
              <w:pStyle w:val="DocketstylePUC"/>
            </w:pPr>
            <w:r>
              <w:t>PUBLIC UTILITY COMMISSION</w:t>
            </w:r>
          </w:p>
          <w:p w:rsidR="00B06D8B" w:rsidRDefault="00B06D8B" w:rsidP="0015200A">
            <w:pPr>
              <w:pStyle w:val="DocketstylePUC"/>
            </w:pPr>
          </w:p>
          <w:p w:rsidR="00B06D8B" w:rsidRDefault="00B06D8B" w:rsidP="0015200A">
            <w:pPr>
              <w:pStyle w:val="DocketstylePUC"/>
            </w:pPr>
            <w:r>
              <w:t>OF TEXAS</w:t>
            </w:r>
          </w:p>
        </w:tc>
      </w:tr>
    </w:tbl>
    <w:p w:rsidR="00B0263A" w:rsidRDefault="00DB2E4A" w:rsidP="00B0263A">
      <w:pPr>
        <w:pStyle w:val="Titleoforder"/>
      </w:pPr>
      <w:r>
        <w:t xml:space="preserve">REVISED </w:t>
      </w:r>
      <w:r w:rsidR="00D02449">
        <w:t>DRAFT PRELIMINARY ORDER</w:t>
      </w:r>
    </w:p>
    <w:p w:rsidR="00D02449" w:rsidRDefault="008C01B2" w:rsidP="00D02449">
      <w:pPr>
        <w:pStyle w:val="BodyText"/>
      </w:pPr>
      <w:r>
        <w:t xml:space="preserve">On November 23, 2016, J&amp;S Water Company applied for a Class B rate and tariff change for water and sewer service under certificates of convenience and necessity numbers 12085 and 20658.  J&amp;S Water states that it is a water and sewer utility serving approximately </w:t>
      </w:r>
      <w:r w:rsidR="002D5FD1">
        <w:t>642</w:t>
      </w:r>
      <w:r>
        <w:t xml:space="preserve"> connections;</w:t>
      </w:r>
      <w:r>
        <w:rPr>
          <w:rStyle w:val="FootnoteReference"/>
        </w:rPr>
        <w:footnoteReference w:id="1"/>
      </w:r>
      <w:r>
        <w:t xml:space="preserve"> it is filing under Texas Water Code § 13</w:t>
      </w:r>
      <w:r w:rsidR="008E65C5">
        <w:t>.</w:t>
      </w:r>
      <w:r>
        <w:t>1871.</w:t>
      </w:r>
    </w:p>
    <w:p w:rsidR="00B65BC0" w:rsidRDefault="0072546F" w:rsidP="00D02449">
      <w:pPr>
        <w:pStyle w:val="BodyText"/>
      </w:pPr>
      <w:r>
        <w:t xml:space="preserve">J&amp;S filed corrections and supplements to its application on January 10 and 18, 2017.  </w:t>
      </w:r>
      <w:r w:rsidR="008C01B2">
        <w:t>In its corrected application, J&amp;S Water requests approval of an annual revenue increase of $85,451 for water and sewer service.</w:t>
      </w:r>
      <w:r w:rsidR="008C01B2">
        <w:rPr>
          <w:rStyle w:val="FootnoteReference"/>
        </w:rPr>
        <w:footnoteReference w:id="2"/>
      </w:r>
      <w:r w:rsidR="008C01B2">
        <w:t xml:space="preserve"> Also in its corrected application, J&amp;S Water </w:t>
      </w:r>
      <w:r w:rsidR="008E65C5">
        <w:t>provides a billing comparison that shows that under its proposed water rate increase, the monthly base rate for water service for a 5/8” or 3/4” meter would increase from $23.44 to $23.88, no gallons included.</w:t>
      </w:r>
      <w:r w:rsidR="008E65C5">
        <w:rPr>
          <w:rStyle w:val="FootnoteReference"/>
        </w:rPr>
        <w:footnoteReference w:id="3"/>
      </w:r>
      <w:r w:rsidR="008E65C5">
        <w:t xml:space="preserve"> All miscellaneous fees regarding </w:t>
      </w:r>
      <w:r w:rsidR="002D5FD1">
        <w:t xml:space="preserve">J&amp;S Water’s </w:t>
      </w:r>
      <w:r w:rsidR="008E65C5">
        <w:t>water service would remain unchanged.</w:t>
      </w:r>
      <w:r w:rsidR="008E65C5">
        <w:rPr>
          <w:rStyle w:val="FootnoteReference"/>
        </w:rPr>
        <w:footnoteReference w:id="4"/>
      </w:r>
      <w:r w:rsidR="008E65C5">
        <w:t xml:space="preserve">  Additionally, in its corrected application, J&amp;S Water provides a billing comparison that shows that under its proposed sewer rate increase, the monthly base rate for sewer service </w:t>
      </w:r>
      <w:r w:rsidR="002D5FD1">
        <w:t>would increase from $29.58 to $40.07, no gallons included.</w:t>
      </w:r>
      <w:r w:rsidR="002D5FD1">
        <w:rPr>
          <w:rStyle w:val="FootnoteReference"/>
        </w:rPr>
        <w:footnoteReference w:id="5"/>
      </w:r>
      <w:r w:rsidR="002D5FD1">
        <w:t xml:space="preserve">  All miscellaneous fees regarding J&amp;S Water’s sewer service would remain unchanged.</w:t>
      </w:r>
      <w:r w:rsidR="008A6167">
        <w:rPr>
          <w:rStyle w:val="FootnoteReference"/>
        </w:rPr>
        <w:footnoteReference w:id="6"/>
      </w:r>
      <w:r w:rsidR="00B65BC0">
        <w:t xml:space="preserve">  </w:t>
      </w:r>
    </w:p>
    <w:p w:rsidR="008C01B2" w:rsidRDefault="00B65BC0" w:rsidP="00D02449">
      <w:pPr>
        <w:pStyle w:val="BodyText"/>
      </w:pPr>
      <w:r>
        <w:lastRenderedPageBreak/>
        <w:t>J&amp;S Water has proposed March 1, 2017, as the effective date for the new rates.</w:t>
      </w:r>
      <w:r>
        <w:rPr>
          <w:rStyle w:val="FootnoteReference"/>
        </w:rPr>
        <w:footnoteReference w:id="7"/>
      </w:r>
      <w:r>
        <w:t xml:space="preserve"> On January</w:t>
      </w:r>
      <w:r w:rsidR="0072546F">
        <w:t> </w:t>
      </w:r>
      <w:r>
        <w:t xml:space="preserve"> 23, 2017, the Commission administrative law judge issued Order No. 3, which </w:t>
      </w:r>
      <w:r w:rsidR="0072546F">
        <w:t xml:space="preserve">established </w:t>
      </w:r>
      <w:r>
        <w:t xml:space="preserve">J&amp;S Water’s effective date </w:t>
      </w:r>
      <w:r w:rsidR="0072546F">
        <w:t>as</w:t>
      </w:r>
      <w:r>
        <w:t xml:space="preserve"> April 1, 2017.</w:t>
      </w:r>
      <w:r w:rsidR="000E6B0C">
        <w:rPr>
          <w:rStyle w:val="FootnoteReference"/>
        </w:rPr>
        <w:footnoteReference w:id="8"/>
      </w:r>
      <w:r>
        <w:t xml:space="preserve">  Additionally, Order No. 3 suspended the revised effective date of April 1 by no longer than 265 days.</w:t>
      </w:r>
      <w:r w:rsidR="000E6B0C">
        <w:rPr>
          <w:rStyle w:val="FootnoteReference"/>
        </w:rPr>
        <w:footnoteReference w:id="9"/>
      </w:r>
    </w:p>
    <w:p w:rsidR="00B65BC0" w:rsidRDefault="00B65BC0" w:rsidP="00D02449">
      <w:pPr>
        <w:pStyle w:val="BodyText"/>
      </w:pPr>
      <w:r>
        <w:t xml:space="preserve">On January 11, 2017, the Commission referred this proceeding to the State Office of Administrative Hearings.  J&amp;S Water was directed and Commission Staff and other persons were allowed to file a list of issues to be addressed in this docket.  On February 10, Commission Staff timely filed a list of issues.  J&amp;S Water did not </w:t>
      </w:r>
      <w:r w:rsidR="00DB2E4A">
        <w:t xml:space="preserve">timely </w:t>
      </w:r>
      <w:r>
        <w:t>file a list of issues.</w:t>
      </w:r>
    </w:p>
    <w:p w:rsidR="006F2036" w:rsidRPr="003C35B5" w:rsidRDefault="006F2036" w:rsidP="006F2036">
      <w:pPr>
        <w:pStyle w:val="Heading1"/>
        <w:keepLines w:val="0"/>
        <w:tabs>
          <w:tab w:val="clear" w:pos="360"/>
        </w:tabs>
        <w:spacing w:before="480"/>
      </w:pPr>
      <w:r w:rsidRPr="003C35B5">
        <w:t>Issues to be Addressed</w:t>
      </w:r>
    </w:p>
    <w:p w:rsidR="006F2036" w:rsidRDefault="006F2036" w:rsidP="006F2036">
      <w:pPr>
        <w:pStyle w:val="BodyText"/>
      </w:pPr>
      <w:r w:rsidRPr="003C35B5">
        <w:t>The Commission must provide to the administrative law judge (ALJ) a list of issues or areas to be addressed in any proceeding referred to the S</w:t>
      </w:r>
      <w:r w:rsidR="006C6740">
        <w:t>OAH.</w:t>
      </w:r>
      <w:r w:rsidRPr="003C35B5">
        <w:rPr>
          <w:rStyle w:val="FootnoteReference"/>
        </w:rPr>
        <w:footnoteReference w:id="10"/>
      </w:r>
      <w:r w:rsidRPr="003C35B5">
        <w:t xml:space="preserve">  After reviewing the pleadings submitted by the parties, the Commission identifies the following issues that must be addressed in this docket: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appropriate methodology to determine just and reasonable rates in this proceeding?</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the just and reasonable rates for the utility that are sufficient, equitable, and consistent in application to each customer class and that are not unreasonably preferential, prejudicial, or discriminatory?  </w:t>
      </w:r>
      <w:r w:rsidR="005834FA" w:rsidRPr="00F90462">
        <w:t>TWC § 13.182</w:t>
      </w:r>
      <w:r w:rsidR="00525BB9">
        <w:t>, 13.1871(o); 16 TAC § </w:t>
      </w:r>
      <w:r w:rsidR="005834FA">
        <w:t>24.28(d).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193735">
        <w:rPr>
          <w:rFonts w:eastAsia="Times New Roman"/>
          <w:vertAlign w:val="superscript"/>
        </w:rPr>
        <w:t xml:space="preserve"> </w:t>
      </w:r>
      <w:r w:rsidR="00525BB9">
        <w:t>TWC </w:t>
      </w:r>
      <w:r w:rsidR="005834FA" w:rsidRPr="00F90462">
        <w:t>§ 13.183(a)</w:t>
      </w:r>
      <w:r w:rsidR="005834FA">
        <w:t>(1)-(2)</w:t>
      </w:r>
      <w:r w:rsidR="005834FA" w:rsidRPr="00F90462">
        <w:t xml:space="preserve">; </w:t>
      </w:r>
      <w:r w:rsidR="00525BB9">
        <w:t>16 </w:t>
      </w:r>
      <w:r w:rsidR="005834FA">
        <w:t>TAC</w:t>
      </w:r>
      <w:r w:rsidR="00525BB9">
        <w:t> </w:t>
      </w:r>
      <w:r w:rsidR="005834FA" w:rsidRPr="00F90462">
        <w:t>§ 24.32(a)</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Are the utility's proposed revisions to its tariffs and rate schedules appropriate?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What is the reasonable and necessary cost of providing service?</w:t>
      </w:r>
      <w:r w:rsidRPr="00193735">
        <w:rPr>
          <w:rFonts w:eastAsia="Times New Roman"/>
          <w:vertAlign w:val="superscript"/>
        </w:rPr>
        <w:t xml:space="preserve"> </w:t>
      </w:r>
      <w:r w:rsidR="00525BB9">
        <w:t>16 TAC § </w:t>
      </w:r>
      <w:r w:rsidR="005834FA" w:rsidRPr="00F90462">
        <w:t>24.31.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adjustments, if any, should be made to the utility’s proposed test-year data?</w:t>
      </w:r>
      <w:r w:rsidR="005834FA" w:rsidRPr="005834FA">
        <w:t xml:space="preserve"> </w:t>
      </w:r>
      <w:r w:rsidR="00525BB9">
        <w:t>TWC § 13.185(d)(1); 16 TAC § </w:t>
      </w:r>
      <w:r w:rsidR="005834FA" w:rsidRPr="00F90462">
        <w:t>24.31(b), (c)(5).</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appropriate debt-to-equity capital structure of the utility?</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appropriate </w:t>
      </w:r>
      <w:r>
        <w:rPr>
          <w:rFonts w:eastAsia="Times New Roman"/>
          <w:szCs w:val="20"/>
        </w:rPr>
        <w:t xml:space="preserve">weighted cost of capital (also called the overall rate of return), including </w:t>
      </w:r>
      <w:r w:rsidRPr="00193735">
        <w:rPr>
          <w:rFonts w:eastAsia="Times New Roman"/>
          <w:szCs w:val="20"/>
        </w:rPr>
        <w:t>return on equity and cost of debt for the utility?</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24.31(c)(1).</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are the reasonable and necessary components of the utility's invested capital?</w:t>
      </w:r>
      <w:r w:rsidR="005834FA" w:rsidRPr="005834FA">
        <w:t xml:space="preserve"> </w:t>
      </w:r>
      <w:r w:rsidR="00525BB9">
        <w:t>16 TAC § </w:t>
      </w:r>
      <w:r w:rsidR="005834FA">
        <w:t>24.31(c)(</w:t>
      </w:r>
      <w:r w:rsidR="00923818">
        <w:t>2</w:t>
      </w:r>
      <w:r w:rsidR="005834FA">
        <w: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1C678B" w:rsidRP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original cost of the property used and useful in providing water service to the public at the time the property was dedicated to public use?</w:t>
      </w:r>
      <w:r w:rsidR="00926E28">
        <w:rPr>
          <w:rFonts w:eastAsia="Times New Roman"/>
          <w:szCs w:val="20"/>
        </w:rPr>
        <w:t xml:space="preserve"> </w:t>
      </w:r>
      <w:r w:rsidR="00525BB9">
        <w:rPr>
          <w:rFonts w:eastAsia="Times New Roman"/>
          <w:szCs w:val="20"/>
        </w:rPr>
        <w:t>TWC § 13.185(b); 16 TAC § </w:t>
      </w:r>
      <w:r w:rsidR="00923818">
        <w:rPr>
          <w:rFonts w:eastAsia="Times New Roman"/>
          <w:szCs w:val="20"/>
        </w:rPr>
        <w:t xml:space="preserve">24.31(c)(2)(A)-(B).  </w:t>
      </w:r>
      <w:r w:rsidRPr="00193735">
        <w:rPr>
          <w:rFonts w:eastAsia="Times New Roman"/>
          <w:vertAlign w:val="superscript"/>
        </w:rPr>
        <w:t xml:space="preserve"> </w:t>
      </w:r>
      <w:r>
        <w:rPr>
          <w:rFonts w:eastAsia="Times New Roman"/>
        </w:rPr>
        <w:t>What is the amount, if any, of accumulated depreciation on such property?</w:t>
      </w:r>
    </w:p>
    <w:p w:rsidR="001C678B" w:rsidRPr="00193735" w:rsidRDefault="001C678B" w:rsidP="001C678B">
      <w:pPr>
        <w:numPr>
          <w:ilvl w:val="0"/>
          <w:numId w:val="11"/>
        </w:numPr>
        <w:spacing w:before="240" w:line="360" w:lineRule="auto"/>
        <w:ind w:hanging="720"/>
        <w:jc w:val="both"/>
        <w:rPr>
          <w:rFonts w:eastAsia="Times New Roman"/>
          <w:szCs w:val="20"/>
        </w:rPr>
      </w:pPr>
      <w:r>
        <w:rPr>
          <w:rFonts w:eastAsia="Times New Roman"/>
          <w:szCs w:val="20"/>
        </w:rPr>
        <w:t xml:space="preserve">Is the utility seeking inclusion of construction work in progress?  If so, what is the amount sought and for what facilities?  Additionally, has the utility proven that the inclusion is necessary to the financial </w:t>
      </w:r>
      <w:r w:rsidRPr="00193735">
        <w:rPr>
          <w:rFonts w:eastAsia="Times New Roman"/>
          <w:szCs w:val="20"/>
        </w:rPr>
        <w:t>integrity of the utility and that major projects under construction have been efficiently and prudently planned and managed?</w:t>
      </w:r>
      <w:r w:rsidR="005834FA">
        <w:rPr>
          <w:rFonts w:eastAsia="Times New Roman"/>
          <w:szCs w:val="20"/>
        </w:rPr>
        <w:t xml:space="preserve"> TWC</w:t>
      </w:r>
      <w:r w:rsidR="00525BB9">
        <w:rPr>
          <w:rFonts w:eastAsia="Times New Roman"/>
          <w:szCs w:val="20"/>
        </w:rPr>
        <w:t> § 13.185(b); 16 TAC § </w:t>
      </w:r>
      <w:r w:rsidR="005834FA">
        <w:rPr>
          <w:rFonts w:eastAsia="Times New Roman"/>
          <w:szCs w:val="20"/>
        </w:rPr>
        <w:t xml:space="preserve">24.31(c)(4).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Does the utility have any debt? If so, what is the cost of that debt?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working capital allowance for the utility?</w:t>
      </w:r>
      <w:r w:rsidR="00525BB9">
        <w:rPr>
          <w:rFonts w:eastAsia="Times New Roman"/>
          <w:szCs w:val="20"/>
        </w:rPr>
        <w:t xml:space="preserve"> 16 </w:t>
      </w:r>
      <w:r w:rsidR="005834FA">
        <w:rPr>
          <w:rFonts w:eastAsia="Times New Roman"/>
          <w:szCs w:val="20"/>
        </w:rPr>
        <w:t>TAC</w:t>
      </w:r>
      <w:r w:rsidR="00525BB9">
        <w:rPr>
          <w:rFonts w:eastAsia="Times New Roman"/>
          <w:szCs w:val="20"/>
        </w:rPr>
        <w:t> § </w:t>
      </w:r>
      <w:r w:rsidR="00B62D67">
        <w:rPr>
          <w:rFonts w:eastAsia="Times New Roman"/>
          <w:szCs w:val="20"/>
        </w:rPr>
        <w:t xml:space="preserve">24.31(c)(2)(C).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Does the utility have any water or sewer property that was acquired from an affiliate or a developer before September 1, 1976?  If so, has such property been included by the utility in </w:t>
      </w:r>
      <w:r w:rsidRPr="00193735">
        <w:rPr>
          <w:rFonts w:eastAsia="Times New Roman"/>
          <w:szCs w:val="20"/>
        </w:rPr>
        <w:lastRenderedPageBreak/>
        <w:t>its rate base, and has it been included in all ratemaking formulas at the actual cost of the property rather than the price set between the entities?</w:t>
      </w:r>
      <w:r w:rsidR="00525BB9">
        <w:rPr>
          <w:rFonts w:eastAsia="Times New Roman"/>
          <w:szCs w:val="20"/>
        </w:rPr>
        <w:t xml:space="preserve"> TWC </w:t>
      </w:r>
      <w:r w:rsidR="00B62D67">
        <w:rPr>
          <w:rFonts w:eastAsia="Times New Roman"/>
          <w:szCs w:val="20"/>
        </w:rPr>
        <w:t>§</w:t>
      </w:r>
      <w:r w:rsidR="00525BB9">
        <w:rPr>
          <w:rFonts w:eastAsia="Times New Roman"/>
          <w:szCs w:val="20"/>
        </w:rPr>
        <w:t> </w:t>
      </w:r>
      <w:r w:rsidR="00E93A17">
        <w:rPr>
          <w:rFonts w:eastAsia="Times New Roman"/>
          <w:szCs w:val="20"/>
        </w:rPr>
        <w:t>13.185(i).</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Has the utility acquired any water property from an affiliate?  If so, do the payments for that proper</w:t>
      </w:r>
      <w:r w:rsidR="00525BB9">
        <w:rPr>
          <w:rFonts w:eastAsia="Times New Roman"/>
          <w:szCs w:val="20"/>
        </w:rPr>
        <w:t>ty meet the requirements of TWC </w:t>
      </w:r>
      <w:r w:rsidR="00E93A17">
        <w:rPr>
          <w:rFonts w:eastAsia="Times New Roman"/>
          <w:szCs w:val="20"/>
        </w:rPr>
        <w:t xml:space="preserve">§ 13.185(e)?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Has the utility financed any of its plant with developer contributions? </w:t>
      </w:r>
      <w:r w:rsidR="00B62D67">
        <w:rPr>
          <w:rFonts w:eastAsia="Times New Roman"/>
          <w:szCs w:val="20"/>
        </w:rPr>
        <w:t>TWC</w:t>
      </w:r>
      <w:r w:rsidR="00525BB9">
        <w:rPr>
          <w:rFonts w:eastAsia="Times New Roman"/>
          <w:szCs w:val="20"/>
        </w:rPr>
        <w:t> § 13.185(j), 16 TAC § </w:t>
      </w:r>
      <w:r w:rsidR="00B62D67">
        <w:rPr>
          <w:rFonts w:eastAsia="Times New Roman"/>
          <w:szCs w:val="20"/>
        </w:rPr>
        <w:t>24.31(b)(1)(B).</w:t>
      </w:r>
      <w:r w:rsidRPr="00193735">
        <w:rPr>
          <w:rFonts w:eastAsia="Times New Roman"/>
          <w:szCs w:val="20"/>
        </w:rPr>
        <w:t xml:space="preserve"> </w:t>
      </w:r>
      <w:r w:rsidR="00623BCA">
        <w:rPr>
          <w:rFonts w:eastAsia="Times New Roman"/>
          <w:szCs w:val="20"/>
        </w:rPr>
        <w:t xml:space="preserve"> </w:t>
      </w:r>
      <w:r w:rsidRPr="00193735">
        <w:rPr>
          <w:rFonts w:eastAsia="Times New Roman"/>
          <w:szCs w:val="20"/>
        </w:rPr>
        <w:t>What is the amount, if any, of accumulated depreciation on that property?</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Has the utility included any customer contributions or donations in invested capital?</w:t>
      </w:r>
      <w:r w:rsidRPr="00193735">
        <w:rPr>
          <w:rFonts w:eastAsia="Times New Roman"/>
          <w:vertAlign w:val="superscript"/>
        </w:rPr>
        <w:t xml:space="preserve"> </w:t>
      </w:r>
      <w:r w:rsidR="00B62D67">
        <w:rPr>
          <w:rFonts w:eastAsia="Times New Roman"/>
          <w:vertAlign w:val="superscript"/>
        </w:rPr>
        <w:t xml:space="preserve"> </w:t>
      </w:r>
      <w:r w:rsidR="00525BB9">
        <w:rPr>
          <w:rFonts w:eastAsia="Times New Roman"/>
          <w:szCs w:val="20"/>
        </w:rPr>
        <w:t>TWC § 13.185(j), 16 TAC § </w:t>
      </w:r>
      <w:r w:rsidR="00B62D67">
        <w:rPr>
          <w:rFonts w:eastAsia="Times New Roman"/>
          <w:szCs w:val="20"/>
        </w:rPr>
        <w:t>24.31(c)(2)(B)(v).</w:t>
      </w:r>
    </w:p>
    <w:p w:rsidR="001C678B" w:rsidRPr="00193735" w:rsidRDefault="001C678B" w:rsidP="001C678B">
      <w:pPr>
        <w:numPr>
          <w:ilvl w:val="0"/>
          <w:numId w:val="11"/>
        </w:numPr>
        <w:spacing w:before="240" w:line="360" w:lineRule="auto"/>
        <w:ind w:hanging="720"/>
        <w:jc w:val="both"/>
        <w:rPr>
          <w:rFonts w:eastAsia="Times New Roman"/>
          <w:vertAlign w:val="superscript"/>
        </w:rPr>
      </w:pPr>
      <w:r w:rsidRPr="00193735">
        <w:rPr>
          <w:rFonts w:eastAsia="Times New Roman"/>
          <w:szCs w:val="20"/>
        </w:rPr>
        <w:t>What are the utility's reasonable and necessary operations and maintenance expenses?</w:t>
      </w:r>
      <w:r w:rsidR="00525BB9">
        <w:rPr>
          <w:rFonts w:eastAsia="Times New Roman"/>
          <w:szCs w:val="20"/>
        </w:rPr>
        <w:t xml:space="preserve"> 16 </w:t>
      </w:r>
      <w:r w:rsidR="00B62D67">
        <w:rPr>
          <w:rFonts w:eastAsia="Times New Roman"/>
          <w:szCs w:val="20"/>
        </w:rPr>
        <w:t>T</w:t>
      </w:r>
      <w:r w:rsidR="00525BB9">
        <w:rPr>
          <w:rFonts w:eastAsia="Times New Roman"/>
          <w:szCs w:val="20"/>
        </w:rPr>
        <w:t>AC § </w:t>
      </w:r>
      <w:r w:rsidR="00B62D67">
        <w:rPr>
          <w:rFonts w:eastAsia="Times New Roman"/>
          <w:szCs w:val="20"/>
        </w:rPr>
        <w:t>24.31(b)(1)(A).</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are the utility's reasonable and necessary administrative and general expenses?</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advertising expense, contributions, and donations?</w:t>
      </w:r>
      <w:r w:rsidR="00B62D67">
        <w:rPr>
          <w:rFonts w:eastAsia="Times New Roman"/>
          <w:szCs w:val="20"/>
        </w:rPr>
        <w:t xml:space="preserve"> 16</w:t>
      </w:r>
      <w:r w:rsidR="00525BB9">
        <w:rPr>
          <w:rFonts w:eastAsia="Times New Roman"/>
          <w:szCs w:val="20"/>
        </w:rPr>
        <w:t> TAC § </w:t>
      </w:r>
      <w:r w:rsidR="00B62D67">
        <w:rPr>
          <w:rFonts w:eastAsia="Times New Roman"/>
          <w:szCs w:val="20"/>
        </w:rPr>
        <w:t>24.31(b)(1)(F).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Are any expenses, including but not limited to, executive salaries, advertising expenses, </w:t>
      </w:r>
      <w:r w:rsidR="00FC1C7E">
        <w:rPr>
          <w:rFonts w:eastAsia="Times New Roman"/>
          <w:szCs w:val="20"/>
        </w:rPr>
        <w:t>rate</w:t>
      </w:r>
      <w:r w:rsidR="00FC1C7E">
        <w:rPr>
          <w:rFonts w:eastAsia="Times New Roman"/>
          <w:szCs w:val="20"/>
        </w:rPr>
        <w:noBreakHyphen/>
        <w:t xml:space="preserve">case expenses, </w:t>
      </w:r>
      <w:r w:rsidRPr="00193735">
        <w:rPr>
          <w:rFonts w:eastAsia="Times New Roman"/>
          <w:szCs w:val="20"/>
        </w:rPr>
        <w:t>legal expenses, penalties and interest on overdue taxes, criminal penalties or fines, and civil penalties or fines, unreasonable, unnecessary, or not in the public interest?</w:t>
      </w:r>
      <w:r w:rsidR="00525BB9">
        <w:rPr>
          <w:rFonts w:eastAsia="Times New Roman"/>
          <w:szCs w:val="20"/>
        </w:rPr>
        <w:t xml:space="preserve"> TWC § 13.185(h)(3); 16 TAC § </w:t>
      </w:r>
      <w:r w:rsidR="00B62D67">
        <w:rPr>
          <w:rFonts w:eastAsia="Times New Roman"/>
          <w:szCs w:val="20"/>
        </w:rPr>
        <w:t>24.31(b)(2)(I).</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are the utility’s reasonable and necessary expenses, if any, for pension and other post-employment benefits?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Has the utility made any payments to affiliates?</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affiliate transactions that affect the cost of service, are these transactions reasonable and necessary?</w:t>
      </w:r>
      <w:r w:rsidR="00525BB9">
        <w:rPr>
          <w:rFonts w:eastAsia="Times New Roman"/>
          <w:szCs w:val="20"/>
        </w:rPr>
        <w:t xml:space="preserve"> TWC § </w:t>
      </w:r>
      <w:r w:rsidR="00BB0C5B">
        <w:rPr>
          <w:rFonts w:eastAsia="Times New Roman"/>
          <w:szCs w:val="20"/>
        </w:rPr>
        <w:t>13.185(e).</w:t>
      </w:r>
    </w:p>
    <w:p w:rsidR="001C678B" w:rsidRPr="00193735" w:rsidRDefault="001C678B" w:rsidP="001C678B">
      <w:pPr>
        <w:numPr>
          <w:ilvl w:val="0"/>
          <w:numId w:val="12"/>
        </w:numPr>
        <w:spacing w:before="240" w:line="360" w:lineRule="auto"/>
        <w:jc w:val="both"/>
        <w:rPr>
          <w:rFonts w:eastAsia="Times New Roman"/>
          <w:szCs w:val="20"/>
        </w:rPr>
      </w:pPr>
      <w:r w:rsidRPr="00193735">
        <w:rPr>
          <w:rFonts w:eastAsia="Times New Roman"/>
          <w:szCs w:val="2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00525BB9">
        <w:rPr>
          <w:rFonts w:eastAsia="Times New Roman"/>
          <w:szCs w:val="20"/>
        </w:rPr>
        <w:t xml:space="preserve"> TWC § </w:t>
      </w:r>
      <w:r w:rsidR="009C566B">
        <w:rPr>
          <w:rFonts w:eastAsia="Times New Roman"/>
          <w:szCs w:val="20"/>
        </w:rPr>
        <w:t>13.185(e).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depreciation expense?  For each class of property, what are the proper and adequate depreciation rates (including service lives and salvage values) and methods of depreciation?</w:t>
      </w:r>
      <w:r w:rsidR="00926E28">
        <w:rPr>
          <w:rFonts w:eastAsia="Times New Roman"/>
          <w:szCs w:val="20"/>
        </w:rPr>
        <w:t xml:space="preserve"> </w:t>
      </w:r>
      <w:r w:rsidR="00525BB9">
        <w:rPr>
          <w:rFonts w:eastAsia="Times New Roman"/>
          <w:szCs w:val="20"/>
        </w:rPr>
        <w:t>TWC § 13.185(j); 16 TAC § 24.31(b)(1)(B).</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if any, for assessment and taxes other than federal income taxes?</w:t>
      </w:r>
      <w:r w:rsidR="00926E28">
        <w:rPr>
          <w:rFonts w:eastAsia="Times New Roman"/>
          <w:szCs w:val="20"/>
        </w:rPr>
        <w:t xml:space="preserve"> </w:t>
      </w:r>
      <w:r w:rsidR="00525BB9">
        <w:rPr>
          <w:rFonts w:eastAsia="Times New Roman"/>
          <w:szCs w:val="20"/>
        </w:rPr>
        <w:t>16 TAC § </w:t>
      </w:r>
      <w:r w:rsidR="00923818">
        <w:rPr>
          <w:rFonts w:eastAsia="Times New Roman"/>
          <w:szCs w:val="20"/>
        </w:rPr>
        <w:t>24.31(b)(1)(C).</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federal income tax expense?</w:t>
      </w:r>
      <w:r w:rsidR="00525BB9">
        <w:rPr>
          <w:rFonts w:eastAsia="Times New Roman"/>
          <w:szCs w:val="20"/>
        </w:rPr>
        <w:t xml:space="preserve"> 16 TAC § 24.31(b)(1)(D);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Is the utility a member of an affiliated group that is eligible to file a consolidated income tax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 xml:space="preserve">If so, have income taxes been computed as though a consolidated return had been filed and the utility </w:t>
      </w:r>
      <w:r w:rsidR="00CF7470">
        <w:rPr>
          <w:rFonts w:eastAsia="Times New Roman"/>
          <w:szCs w:val="20"/>
        </w:rPr>
        <w:t xml:space="preserve">had </w:t>
      </w:r>
      <w:r w:rsidRPr="00193735">
        <w:rPr>
          <w:rFonts w:eastAsia="Times New Roman"/>
          <w:szCs w:val="20"/>
        </w:rPr>
        <w:t>realized its fair share of the savings resulting from the consolidated return?</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3"/>
        </w:numPr>
        <w:spacing w:before="240" w:line="360" w:lineRule="auto"/>
        <w:jc w:val="both"/>
        <w:rPr>
          <w:rFonts w:eastAsia="Times New Roman"/>
          <w:szCs w:val="20"/>
        </w:rPr>
      </w:pPr>
      <w:r w:rsidRPr="00193735">
        <w:rPr>
          <w:rFonts w:eastAsia="Times New Roman"/>
          <w:szCs w:val="20"/>
        </w:rPr>
        <w:t>If not, has the utility demonstrated that it was reasonable not to consolidate returns?</w:t>
      </w:r>
      <w:r w:rsidR="00525BB9">
        <w:rPr>
          <w:rFonts w:eastAsia="Times New Roman"/>
          <w:szCs w:val="20"/>
        </w:rPr>
        <w:t xml:space="preserve"> TWC § </w:t>
      </w:r>
      <w:r w:rsidR="00923818">
        <w:rPr>
          <w:rFonts w:eastAsia="Times New Roman"/>
          <w:szCs w:val="20"/>
        </w:rPr>
        <w:t>13.185(f).</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lastRenderedPageBreak/>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municipal franchise fees, if any, to be included in rates? </w:t>
      </w:r>
    </w:p>
    <w:p w:rsidR="001C678B" w:rsidRPr="00193735"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What regulatory assets are appropriately included in the utility’s rate base?  If such assets are included in rate base, what is the appropriate treatment of such assets?</w:t>
      </w:r>
    </w:p>
    <w:p w:rsidR="001C678B" w:rsidRDefault="001C678B" w:rsidP="001C678B">
      <w:pPr>
        <w:numPr>
          <w:ilvl w:val="0"/>
          <w:numId w:val="11"/>
        </w:numPr>
        <w:spacing w:before="240" w:line="360" w:lineRule="auto"/>
        <w:ind w:hanging="720"/>
        <w:jc w:val="both"/>
        <w:rPr>
          <w:rFonts w:eastAsia="Times New Roman"/>
          <w:szCs w:val="20"/>
        </w:rPr>
      </w:pPr>
      <w:r w:rsidRPr="00193735">
        <w:rPr>
          <w:rFonts w:eastAsia="Times New Roman"/>
          <w:szCs w:val="20"/>
        </w:rPr>
        <w:t>Is the utility seeking rates for both water and sewer service?  If so, is each component of cost of service (each allowable expense and all return on invested capital) properly allocated between water and sewer services?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allocation of costs and revenues among the utility’s rate classes?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is the appropriate rate design for each rate class?</w:t>
      </w:r>
      <w:r w:rsidR="00926E28">
        <w:rPr>
          <w:rFonts w:eastAsia="Times New Roman"/>
          <w:szCs w:val="20"/>
        </w:rPr>
        <w:t xml:space="preserve"> </w:t>
      </w:r>
      <w:r w:rsidR="00525BB9">
        <w:rPr>
          <w:rFonts w:eastAsia="Times New Roman"/>
          <w:szCs w:val="20"/>
        </w:rPr>
        <w:t>16 </w:t>
      </w:r>
      <w:r w:rsidR="00923818">
        <w:rPr>
          <w:rFonts w:eastAsia="Times New Roman"/>
          <w:szCs w:val="20"/>
        </w:rPr>
        <w:t>T</w:t>
      </w:r>
      <w:r w:rsidR="00525BB9">
        <w:rPr>
          <w:rFonts w:eastAsia="Times New Roman"/>
          <w:szCs w:val="20"/>
        </w:rPr>
        <w:t>AC § 2</w:t>
      </w:r>
      <w:r w:rsidR="00923818">
        <w:rPr>
          <w:rFonts w:eastAsia="Times New Roman"/>
          <w:szCs w:val="20"/>
        </w:rPr>
        <w:t>4.32.</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Should the utility use the current number of connections as of the date of the application as opposed to using the number of test-year-end connections in designing rates?</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What are the utility’s expenses incurred in this rate proceeding that are just, reasonable, necessary, and in the public interest?</w:t>
      </w:r>
      <w:r w:rsidR="00926E28">
        <w:rPr>
          <w:rFonts w:eastAsia="Times New Roman"/>
          <w:szCs w:val="20"/>
        </w:rPr>
        <w:t xml:space="preserve"> </w:t>
      </w:r>
      <w:r w:rsidR="00923818">
        <w:rPr>
          <w:rFonts w:eastAsia="Times New Roman"/>
          <w:szCs w:val="20"/>
        </w:rPr>
        <w:t>16</w:t>
      </w:r>
      <w:r w:rsidR="00525BB9">
        <w:rPr>
          <w:rFonts w:eastAsia="Times New Roman"/>
          <w:szCs w:val="20"/>
        </w:rPr>
        <w:t> TAC § </w:t>
      </w:r>
      <w:r w:rsidR="00923818">
        <w:rPr>
          <w:rFonts w:eastAsia="Times New Roman"/>
          <w:szCs w:val="20"/>
        </w:rPr>
        <w:t>24.33.</w:t>
      </w:r>
      <w:r>
        <w:rPr>
          <w:rFonts w:eastAsia="Times New Roman"/>
          <w:szCs w:val="20"/>
        </w:rPr>
        <w:t xml:space="preserve">  Does that amount include any anticipated expenses to appeal this docket that are just, reasonable, necessary and in the public interest?  Should the utility be able to recover its reasonable and necessary rate-case expenses from ratepayers?  If so, how should such expenses, if any, be recovered by the utility?</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If a refund or surcharge results from this proceeding, how and over what period of time should that be made?</w:t>
      </w:r>
      <w:r w:rsidR="00525BB9">
        <w:rPr>
          <w:rFonts w:eastAsia="Times New Roman"/>
          <w:szCs w:val="20"/>
        </w:rPr>
        <w:t xml:space="preserve"> TWC § </w:t>
      </w:r>
      <w:r w:rsidR="00923818">
        <w:rPr>
          <w:rFonts w:eastAsia="Times New Roman"/>
          <w:szCs w:val="20"/>
        </w:rPr>
        <w:t>13.1871.</w:t>
      </w:r>
    </w:p>
    <w:p w:rsidR="001C678B" w:rsidRDefault="001C678B" w:rsidP="001C678B">
      <w:pPr>
        <w:numPr>
          <w:ilvl w:val="0"/>
          <w:numId w:val="11"/>
        </w:numPr>
        <w:spacing w:before="240" w:line="360" w:lineRule="auto"/>
        <w:ind w:hanging="720"/>
        <w:jc w:val="both"/>
        <w:rPr>
          <w:rFonts w:eastAsia="Times New Roman"/>
          <w:szCs w:val="20"/>
        </w:rPr>
      </w:pPr>
      <w:r>
        <w:rPr>
          <w:rFonts w:eastAsia="Times New Roman"/>
          <w:szCs w:val="20"/>
        </w:rPr>
        <w:t>Has the utility met the requirements for a request for interim relief in the form of interim rates?  If so, what are the appropriate levels of the interim rates?</w:t>
      </w:r>
      <w:r w:rsidR="00926E28">
        <w:rPr>
          <w:rFonts w:eastAsia="Times New Roman"/>
          <w:szCs w:val="20"/>
        </w:rPr>
        <w:t xml:space="preserve"> </w:t>
      </w:r>
      <w:r w:rsidR="00525BB9">
        <w:rPr>
          <w:rFonts w:eastAsia="Times New Roman"/>
          <w:szCs w:val="20"/>
        </w:rPr>
        <w:t>16 TAC § </w:t>
      </w:r>
      <w:r w:rsidR="00923818">
        <w:rPr>
          <w:rFonts w:eastAsia="Times New Roman"/>
          <w:szCs w:val="20"/>
        </w:rPr>
        <w:t>24.29.</w:t>
      </w:r>
    </w:p>
    <w:p w:rsidR="001C678B" w:rsidRPr="00193735" w:rsidRDefault="001C678B" w:rsidP="001C678B">
      <w:pPr>
        <w:numPr>
          <w:ilvl w:val="0"/>
          <w:numId w:val="11"/>
        </w:numPr>
        <w:spacing w:before="240" w:line="360" w:lineRule="auto"/>
        <w:ind w:hanging="720"/>
        <w:jc w:val="both"/>
        <w:rPr>
          <w:rFonts w:eastAsia="Times New Roman"/>
          <w:szCs w:val="20"/>
        </w:rPr>
      </w:pPr>
      <w:r>
        <w:rPr>
          <w:rFonts w:eastAsia="Times New Roman"/>
          <w:szCs w:val="20"/>
        </w:rPr>
        <w:lastRenderedPageBreak/>
        <w:t>What is the appropriate effective date of the rates fixed by the Commission in this proceeding?</w:t>
      </w:r>
      <w:r w:rsidR="00926E28">
        <w:rPr>
          <w:rFonts w:eastAsia="Times New Roman"/>
          <w:szCs w:val="20"/>
        </w:rPr>
        <w:t xml:space="preserve"> </w:t>
      </w:r>
      <w:r w:rsidR="00525BB9">
        <w:rPr>
          <w:rFonts w:eastAsia="Times New Roman"/>
          <w:szCs w:val="20"/>
        </w:rPr>
        <w:t>TWC § </w:t>
      </w:r>
      <w:r w:rsidR="00923818">
        <w:rPr>
          <w:rFonts w:eastAsia="Times New Roman"/>
          <w:szCs w:val="20"/>
        </w:rPr>
        <w:t>13.1871.</w:t>
      </w:r>
    </w:p>
    <w:p w:rsidR="006F2036" w:rsidRPr="006C5848" w:rsidRDefault="006F2036" w:rsidP="00E94DA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00525BB9">
        <w:t xml:space="preserve"> </w:t>
      </w:r>
      <w:r w:rsidRPr="003C35B5">
        <w:t>§</w:t>
      </w:r>
      <w:r>
        <w:t> </w:t>
      </w:r>
      <w:r w:rsidRPr="003C35B5">
        <w:t>2003.049(e).</w:t>
      </w:r>
    </w:p>
    <w:p w:rsidR="006F2036" w:rsidRPr="003C35B5" w:rsidRDefault="006F2036" w:rsidP="006F2036">
      <w:pPr>
        <w:pStyle w:val="Heading1"/>
        <w:keepLines w:val="0"/>
        <w:tabs>
          <w:tab w:val="clear" w:pos="360"/>
        </w:tabs>
        <w:spacing w:before="480"/>
      </w:pPr>
      <w:r w:rsidRPr="003C35B5">
        <w:t xml:space="preserve"> 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861D5E">
        <w:t>March</w:t>
      </w:r>
      <w:r w:rsidR="00C41191">
        <w:t xml:space="preserve"> </w:t>
      </w:r>
      <w:r>
        <w:t>201</w:t>
      </w:r>
      <w:r w:rsidR="00C41191">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FE4318" w:rsidRDefault="00FE4318" w:rsidP="0062202F">
      <w:pPr>
        <w:pStyle w:val="EndMatter"/>
      </w:pPr>
      <w:r>
        <w:t>W2013</w:t>
      </w:r>
    </w:p>
    <w:p w:rsidR="00DB2E4A" w:rsidRDefault="00DB2E4A" w:rsidP="0062202F">
      <w:pPr>
        <w:pStyle w:val="EndMatter"/>
      </w:pPr>
      <w:r>
        <w:fldChar w:fldCharType="begin"/>
      </w:r>
      <w:r>
        <w:instrText xml:space="preserve"> FILENAME  \* Lower \p  \* MERGEFORMAT </w:instrText>
      </w:r>
      <w:r>
        <w:fldChar w:fldCharType="separate"/>
      </w:r>
      <w:r w:rsidR="00861D5E">
        <w:rPr>
          <w:noProof/>
        </w:rPr>
        <w:t xml:space="preserve">q:\cadm\orders\prelim\46000\46438 </w:t>
      </w:r>
      <w:r>
        <w:rPr>
          <w:noProof/>
        </w:rPr>
        <w:t>r</w:t>
      </w:r>
      <w:r w:rsidR="00861D5E">
        <w:rPr>
          <w:noProof/>
        </w:rPr>
        <w:t>dpo.docx</w:t>
      </w:r>
      <w:r>
        <w:rPr>
          <w:noProof/>
        </w:rPr>
        <w:fldChar w:fldCharType="end"/>
      </w:r>
    </w:p>
    <w:p w:rsidR="00DB2E4A" w:rsidRPr="00DB2E4A" w:rsidRDefault="00DB2E4A" w:rsidP="00DB2E4A"/>
    <w:p w:rsidR="00DB2E4A" w:rsidRPr="00DB2E4A" w:rsidRDefault="00DB2E4A" w:rsidP="00DB2E4A"/>
    <w:p w:rsidR="00DB2E4A" w:rsidRPr="00DB2E4A" w:rsidRDefault="00DB2E4A" w:rsidP="00DB2E4A"/>
    <w:p w:rsidR="00DB2E4A" w:rsidRPr="00DB2E4A" w:rsidRDefault="00DB2E4A" w:rsidP="00DB2E4A"/>
    <w:p w:rsidR="00DB2E4A" w:rsidRPr="00DB2E4A" w:rsidRDefault="00DB2E4A" w:rsidP="00DB2E4A"/>
    <w:p w:rsidR="00DB2E4A" w:rsidRDefault="00DB2E4A" w:rsidP="00DB2E4A"/>
    <w:p w:rsidR="00DB2E4A" w:rsidRDefault="00DB2E4A" w:rsidP="00DB2E4A"/>
    <w:p w:rsidR="00160DCD" w:rsidRPr="00DB2E4A" w:rsidRDefault="00DB2E4A" w:rsidP="00DB2E4A">
      <w:pPr>
        <w:tabs>
          <w:tab w:val="left" w:pos="1830"/>
        </w:tabs>
      </w:pPr>
      <w:r>
        <w:tab/>
      </w:r>
      <w:bookmarkStart w:id="0" w:name="_GoBack"/>
      <w:bookmarkEnd w:id="0"/>
    </w:p>
    <w:sectPr w:rsidR="00160DCD" w:rsidRPr="00DB2E4A"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E8B" w:rsidRDefault="00191E8B" w:rsidP="00D03394">
      <w:r>
        <w:separator/>
      </w:r>
    </w:p>
  </w:endnote>
  <w:endnote w:type="continuationSeparator" w:id="0">
    <w:p w:rsidR="00191E8B" w:rsidRDefault="00191E8B"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E8B" w:rsidRDefault="00191E8B" w:rsidP="00D03394">
      <w:r>
        <w:separator/>
      </w:r>
    </w:p>
  </w:footnote>
  <w:footnote w:type="continuationSeparator" w:id="0">
    <w:p w:rsidR="00191E8B" w:rsidRDefault="00191E8B" w:rsidP="00D03394">
      <w:r>
        <w:continuationSeparator/>
      </w:r>
    </w:p>
  </w:footnote>
  <w:footnote w:id="1">
    <w:p w:rsidR="008C01B2" w:rsidRDefault="008C01B2">
      <w:pPr>
        <w:pStyle w:val="FootnoteText"/>
      </w:pPr>
      <w:r>
        <w:rPr>
          <w:rStyle w:val="FootnoteReference"/>
        </w:rPr>
        <w:footnoteRef/>
      </w:r>
      <w:r>
        <w:t xml:space="preserve"> </w:t>
      </w:r>
      <w:r w:rsidR="002D5FD1">
        <w:t xml:space="preserve"> Application at 9</w:t>
      </w:r>
      <w:r w:rsidR="0072546F">
        <w:t xml:space="preserve"> (Nov. 23, 2016)</w:t>
      </w:r>
      <w:r w:rsidR="002D5FD1">
        <w:t>.</w:t>
      </w:r>
    </w:p>
  </w:footnote>
  <w:footnote w:id="2">
    <w:p w:rsidR="002D5FD1" w:rsidRDefault="002D5FD1">
      <w:pPr>
        <w:pStyle w:val="FootnoteText"/>
      </w:pPr>
    </w:p>
    <w:p w:rsidR="008C01B2" w:rsidRDefault="008C01B2">
      <w:pPr>
        <w:pStyle w:val="FootnoteText"/>
      </w:pPr>
      <w:r>
        <w:rPr>
          <w:rStyle w:val="FootnoteReference"/>
        </w:rPr>
        <w:footnoteRef/>
      </w:r>
      <w:r>
        <w:t xml:space="preserve">  J&amp;S Water’s letter to Commission administrative law judge correcting original application at 2.  (Jan. 6, 2017). </w:t>
      </w:r>
    </w:p>
  </w:footnote>
  <w:footnote w:id="3">
    <w:p w:rsidR="002D5FD1" w:rsidRDefault="002D5FD1">
      <w:pPr>
        <w:pStyle w:val="FootnoteText"/>
      </w:pPr>
    </w:p>
    <w:p w:rsidR="008E65C5" w:rsidRDefault="008E65C5">
      <w:pPr>
        <w:pStyle w:val="FootnoteText"/>
      </w:pPr>
      <w:r>
        <w:rPr>
          <w:rStyle w:val="FootnoteReference"/>
        </w:rPr>
        <w:footnoteRef/>
      </w:r>
      <w:r>
        <w:t xml:space="preserve">  </w:t>
      </w:r>
      <w:r w:rsidRPr="008E65C5">
        <w:rPr>
          <w:i/>
        </w:rPr>
        <w:t>Id</w:t>
      </w:r>
      <w:r>
        <w:t>. at 4.</w:t>
      </w:r>
    </w:p>
  </w:footnote>
  <w:footnote w:id="4">
    <w:p w:rsidR="002D5FD1" w:rsidRDefault="002D5FD1">
      <w:pPr>
        <w:pStyle w:val="FootnoteText"/>
      </w:pPr>
    </w:p>
    <w:p w:rsidR="008E65C5" w:rsidRDefault="008E65C5">
      <w:pPr>
        <w:pStyle w:val="FootnoteText"/>
      </w:pPr>
      <w:r>
        <w:rPr>
          <w:rStyle w:val="FootnoteReference"/>
        </w:rPr>
        <w:footnoteRef/>
      </w:r>
      <w:r>
        <w:t xml:space="preserve">  </w:t>
      </w:r>
      <w:r w:rsidRPr="008E65C5">
        <w:rPr>
          <w:i/>
        </w:rPr>
        <w:t>Id.</w:t>
      </w:r>
      <w:r>
        <w:t xml:space="preserve">  </w:t>
      </w:r>
    </w:p>
  </w:footnote>
  <w:footnote w:id="5">
    <w:p w:rsidR="002D5FD1" w:rsidRDefault="002D5FD1">
      <w:pPr>
        <w:pStyle w:val="FootnoteText"/>
      </w:pPr>
    </w:p>
    <w:p w:rsidR="002D5FD1" w:rsidRDefault="002D5FD1">
      <w:pPr>
        <w:pStyle w:val="FootnoteText"/>
      </w:pPr>
      <w:r>
        <w:rPr>
          <w:rStyle w:val="FootnoteReference"/>
        </w:rPr>
        <w:footnoteRef/>
      </w:r>
      <w:r>
        <w:t xml:space="preserve">  </w:t>
      </w:r>
      <w:r w:rsidRPr="002D5FD1">
        <w:rPr>
          <w:i/>
        </w:rPr>
        <w:t>Id</w:t>
      </w:r>
      <w:r>
        <w:t>. at 5.</w:t>
      </w:r>
    </w:p>
  </w:footnote>
  <w:footnote w:id="6">
    <w:p w:rsidR="008A6167" w:rsidRDefault="008A6167">
      <w:pPr>
        <w:pStyle w:val="FootnoteText"/>
      </w:pPr>
    </w:p>
    <w:p w:rsidR="008A6167" w:rsidRDefault="008A6167">
      <w:pPr>
        <w:pStyle w:val="FootnoteText"/>
      </w:pPr>
      <w:r>
        <w:rPr>
          <w:rStyle w:val="FootnoteReference"/>
        </w:rPr>
        <w:footnoteRef/>
      </w:r>
      <w:r>
        <w:t xml:space="preserve">  </w:t>
      </w:r>
      <w:r w:rsidRPr="008A6167">
        <w:rPr>
          <w:i/>
        </w:rPr>
        <w:t>Id</w:t>
      </w:r>
      <w:r>
        <w:t>.</w:t>
      </w:r>
    </w:p>
  </w:footnote>
  <w:footnote w:id="7">
    <w:p w:rsidR="00B65BC0" w:rsidRDefault="00B65BC0">
      <w:pPr>
        <w:pStyle w:val="FootnoteText"/>
      </w:pPr>
    </w:p>
    <w:p w:rsidR="00B65BC0" w:rsidRDefault="00B65BC0">
      <w:pPr>
        <w:pStyle w:val="FootnoteText"/>
      </w:pPr>
      <w:r>
        <w:rPr>
          <w:rStyle w:val="FootnoteReference"/>
        </w:rPr>
        <w:footnoteRef/>
      </w:r>
      <w:r>
        <w:t xml:space="preserve">  </w:t>
      </w:r>
      <w:r w:rsidRPr="00B65BC0">
        <w:rPr>
          <w:i/>
        </w:rPr>
        <w:t>Id</w:t>
      </w:r>
      <w:r>
        <w:t xml:space="preserve">. at 2. </w:t>
      </w:r>
    </w:p>
  </w:footnote>
  <w:footnote w:id="8">
    <w:p w:rsidR="000E6B0C" w:rsidRDefault="000E6B0C">
      <w:pPr>
        <w:pStyle w:val="FootnoteText"/>
      </w:pPr>
    </w:p>
    <w:p w:rsidR="000E6B0C" w:rsidRDefault="000E6B0C">
      <w:pPr>
        <w:pStyle w:val="FootnoteText"/>
      </w:pPr>
      <w:r>
        <w:rPr>
          <w:rStyle w:val="FootnoteReference"/>
        </w:rPr>
        <w:footnoteRef/>
      </w:r>
      <w:r>
        <w:t xml:space="preserve">  Order No. 3 at 1. (Jan. 23, 2017).</w:t>
      </w:r>
    </w:p>
    <w:p w:rsidR="000E6B0C" w:rsidRDefault="000E6B0C">
      <w:pPr>
        <w:pStyle w:val="FootnoteText"/>
      </w:pPr>
    </w:p>
  </w:footnote>
  <w:footnote w:id="9">
    <w:p w:rsidR="000E6B0C" w:rsidRDefault="000E6B0C">
      <w:pPr>
        <w:pStyle w:val="FootnoteText"/>
      </w:pPr>
      <w:r>
        <w:rPr>
          <w:rStyle w:val="FootnoteReference"/>
        </w:rPr>
        <w:footnoteRef/>
      </w:r>
      <w:r>
        <w:t xml:space="preserve">  </w:t>
      </w:r>
      <w:r w:rsidRPr="000E6B0C">
        <w:rPr>
          <w:i/>
        </w:rPr>
        <w:t>Id</w:t>
      </w:r>
      <w:r>
        <w:t xml:space="preserve">. </w:t>
      </w:r>
    </w:p>
  </w:footnote>
  <w:footnote w:id="10">
    <w:p w:rsidR="00126D23" w:rsidRDefault="00126D23" w:rsidP="006F2036">
      <w:pPr>
        <w:pStyle w:val="FootnoteText"/>
        <w:rPr>
          <w:lang w:val="pt-BR"/>
        </w:rPr>
      </w:pPr>
    </w:p>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sidR="00441F4C">
        <w:rPr>
          <w:lang w:val="pt-BR"/>
        </w:rPr>
        <w:t xml:space="preserve"> § 2003.049(e) (West 2008 &amp; Supp. 2015)</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1C678B">
      <w:t>46</w:t>
    </w:r>
    <w:r w:rsidR="00D02C7D">
      <w:t>438</w:t>
    </w:r>
    <w:r>
      <w:tab/>
    </w:r>
    <w:r w:rsidR="00DB2E4A">
      <w:t xml:space="preserve">Revised </w:t>
    </w:r>
    <w:r w:rsidR="00B12AC5">
      <w:t xml:space="preserve">Draft Preliminary </w:t>
    </w:r>
    <w:r>
      <w:t>Order</w:t>
    </w:r>
    <w:r>
      <w:tab/>
      <w:t xml:space="preserve">Page </w:t>
    </w:r>
    <w:r>
      <w:fldChar w:fldCharType="begin"/>
    </w:r>
    <w:r>
      <w:instrText xml:space="preserve"> PAGE   \* MERGEFORMAT </w:instrText>
    </w:r>
    <w:r>
      <w:fldChar w:fldCharType="separate"/>
    </w:r>
    <w:r w:rsidR="00DB2E4A">
      <w:rPr>
        <w:noProof/>
      </w:rPr>
      <w:t>2</w:t>
    </w:r>
    <w:r>
      <w:fldChar w:fldCharType="end"/>
    </w:r>
    <w:r>
      <w:t xml:space="preserve"> of </w:t>
    </w:r>
    <w:r w:rsidR="00DB2E4A">
      <w:fldChar w:fldCharType="begin"/>
    </w:r>
    <w:r w:rsidR="00DB2E4A">
      <w:instrText xml:space="preserve"> NUMPAGES   \* MERGEFORMAT </w:instrText>
    </w:r>
    <w:r w:rsidR="00DB2E4A">
      <w:fldChar w:fldCharType="separate"/>
    </w:r>
    <w:r w:rsidR="00DB2E4A">
      <w:rPr>
        <w:noProof/>
      </w:rPr>
      <w:t>8</w:t>
    </w:r>
    <w:r w:rsidR="00DB2E4A">
      <w:rPr>
        <w:noProof/>
      </w:rPr>
      <w:fldChar w:fldCharType="end"/>
    </w:r>
  </w:p>
  <w:p w:rsidR="00ED04FC" w:rsidRDefault="00ED04FC">
    <w:pPr>
      <w:pStyle w:val="Header"/>
    </w:pPr>
    <w:r>
      <w:t>SOAH Docket No. 473-1</w:t>
    </w:r>
    <w:r w:rsidR="006D34E9">
      <w:t>7</w:t>
    </w:r>
    <w:r>
      <w:t>-</w:t>
    </w:r>
    <w:r w:rsidR="006D34E9">
      <w:t>2</w:t>
    </w:r>
    <w:r w:rsidR="00861D5E">
      <w:t>372</w:t>
    </w:r>
    <w:r w:rsidR="006D34E9">
      <w:t>.WS</w:t>
    </w: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8F3D5E"/>
    <w:multiLevelType w:val="singleLevel"/>
    <w:tmpl w:val="9470F582"/>
    <w:lvl w:ilvl="0">
      <w:start w:val="1"/>
      <w:numFmt w:val="decimal"/>
      <w:lvlText w:val="%1."/>
      <w:lvlJc w:val="left"/>
      <w:pPr>
        <w:tabs>
          <w:tab w:val="num" w:pos="720"/>
        </w:tabs>
        <w:ind w:left="720" w:hanging="720"/>
      </w:pPr>
    </w:lvl>
  </w:abstractNum>
  <w:abstractNum w:abstractNumId="3"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1315B5"/>
    <w:multiLevelType w:val="hybridMultilevel"/>
    <w:tmpl w:val="1EC4C7B8"/>
    <w:lvl w:ilvl="0" w:tplc="A7D8A6F0">
      <w:start w:val="1"/>
      <w:numFmt w:val="upperRoman"/>
      <w:lvlText w:val="%1."/>
      <w:lvlJc w:val="right"/>
      <w:pPr>
        <w:ind w:left="720" w:hanging="360"/>
      </w:pPr>
    </w:lvl>
    <w:lvl w:ilvl="1" w:tplc="BBC4D26C" w:tentative="1">
      <w:start w:val="1"/>
      <w:numFmt w:val="lowerLetter"/>
      <w:lvlText w:val="%2."/>
      <w:lvlJc w:val="left"/>
      <w:pPr>
        <w:ind w:left="1440" w:hanging="360"/>
      </w:pPr>
    </w:lvl>
    <w:lvl w:ilvl="2" w:tplc="163AFDCC" w:tentative="1">
      <w:start w:val="1"/>
      <w:numFmt w:val="lowerRoman"/>
      <w:lvlText w:val="%3."/>
      <w:lvlJc w:val="right"/>
      <w:pPr>
        <w:ind w:left="2160" w:hanging="180"/>
      </w:pPr>
    </w:lvl>
    <w:lvl w:ilvl="3" w:tplc="2A14A210" w:tentative="1">
      <w:start w:val="1"/>
      <w:numFmt w:val="decimal"/>
      <w:lvlText w:val="%4."/>
      <w:lvlJc w:val="left"/>
      <w:pPr>
        <w:ind w:left="2880" w:hanging="360"/>
      </w:pPr>
    </w:lvl>
    <w:lvl w:ilvl="4" w:tplc="E1A629B4" w:tentative="1">
      <w:start w:val="1"/>
      <w:numFmt w:val="lowerLetter"/>
      <w:lvlText w:val="%5."/>
      <w:lvlJc w:val="left"/>
      <w:pPr>
        <w:ind w:left="3600" w:hanging="360"/>
      </w:pPr>
    </w:lvl>
    <w:lvl w:ilvl="5" w:tplc="2D20A4BA" w:tentative="1">
      <w:start w:val="1"/>
      <w:numFmt w:val="lowerRoman"/>
      <w:lvlText w:val="%6."/>
      <w:lvlJc w:val="right"/>
      <w:pPr>
        <w:ind w:left="4320" w:hanging="180"/>
      </w:pPr>
    </w:lvl>
    <w:lvl w:ilvl="6" w:tplc="27182326" w:tentative="1">
      <w:start w:val="1"/>
      <w:numFmt w:val="decimal"/>
      <w:lvlText w:val="%7."/>
      <w:lvlJc w:val="left"/>
      <w:pPr>
        <w:ind w:left="5040" w:hanging="360"/>
      </w:pPr>
    </w:lvl>
    <w:lvl w:ilvl="7" w:tplc="EFC86D68" w:tentative="1">
      <w:start w:val="1"/>
      <w:numFmt w:val="lowerLetter"/>
      <w:lvlText w:val="%8."/>
      <w:lvlJc w:val="left"/>
      <w:pPr>
        <w:ind w:left="5760" w:hanging="360"/>
      </w:pPr>
    </w:lvl>
    <w:lvl w:ilvl="8" w:tplc="ACD0478C" w:tentative="1">
      <w:start w:val="1"/>
      <w:numFmt w:val="lowerRoman"/>
      <w:lvlText w:val="%9."/>
      <w:lvlJc w:val="right"/>
      <w:pPr>
        <w:ind w:left="648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8" w15:restartNumberingAfterBreak="0">
    <w:nsid w:val="5FF6204A"/>
    <w:multiLevelType w:val="hybridMultilevel"/>
    <w:tmpl w:val="5F64109C"/>
    <w:lvl w:ilvl="0" w:tplc="83F4AE94">
      <w:start w:val="1"/>
      <w:numFmt w:val="decimal"/>
      <w:pStyle w:val="ThresholdIssue"/>
      <w:lvlText w:val="%1."/>
      <w:lvlJc w:val="left"/>
      <w:pPr>
        <w:tabs>
          <w:tab w:val="num" w:pos="720"/>
        </w:tabs>
        <w:ind w:left="720" w:hanging="720"/>
      </w:pPr>
      <w:rPr>
        <w:rFonts w:hint="default"/>
        <w:b/>
      </w:rPr>
    </w:lvl>
    <w:lvl w:ilvl="1" w:tplc="1868A202" w:tentative="1">
      <w:start w:val="1"/>
      <w:numFmt w:val="lowerLetter"/>
      <w:lvlText w:val="%2."/>
      <w:lvlJc w:val="left"/>
      <w:pPr>
        <w:tabs>
          <w:tab w:val="num" w:pos="720"/>
        </w:tabs>
        <w:ind w:left="720" w:hanging="360"/>
      </w:pPr>
    </w:lvl>
    <w:lvl w:ilvl="2" w:tplc="B2481D86" w:tentative="1">
      <w:start w:val="1"/>
      <w:numFmt w:val="lowerRoman"/>
      <w:lvlText w:val="%3."/>
      <w:lvlJc w:val="right"/>
      <w:pPr>
        <w:tabs>
          <w:tab w:val="num" w:pos="1440"/>
        </w:tabs>
        <w:ind w:left="1440" w:hanging="180"/>
      </w:pPr>
    </w:lvl>
    <w:lvl w:ilvl="3" w:tplc="1D48B92A" w:tentative="1">
      <w:start w:val="1"/>
      <w:numFmt w:val="decimal"/>
      <w:lvlText w:val="%4."/>
      <w:lvlJc w:val="left"/>
      <w:pPr>
        <w:tabs>
          <w:tab w:val="num" w:pos="2160"/>
        </w:tabs>
        <w:ind w:left="2160" w:hanging="360"/>
      </w:pPr>
    </w:lvl>
    <w:lvl w:ilvl="4" w:tplc="02C8293A" w:tentative="1">
      <w:start w:val="1"/>
      <w:numFmt w:val="lowerLetter"/>
      <w:lvlText w:val="%5."/>
      <w:lvlJc w:val="left"/>
      <w:pPr>
        <w:tabs>
          <w:tab w:val="num" w:pos="2880"/>
        </w:tabs>
        <w:ind w:left="2880" w:hanging="360"/>
      </w:pPr>
    </w:lvl>
    <w:lvl w:ilvl="5" w:tplc="0D7CBC2A" w:tentative="1">
      <w:start w:val="1"/>
      <w:numFmt w:val="lowerRoman"/>
      <w:lvlText w:val="%6."/>
      <w:lvlJc w:val="right"/>
      <w:pPr>
        <w:tabs>
          <w:tab w:val="num" w:pos="3600"/>
        </w:tabs>
        <w:ind w:left="3600" w:hanging="180"/>
      </w:pPr>
    </w:lvl>
    <w:lvl w:ilvl="6" w:tplc="298E9988" w:tentative="1">
      <w:start w:val="1"/>
      <w:numFmt w:val="decimal"/>
      <w:lvlText w:val="%7."/>
      <w:lvlJc w:val="left"/>
      <w:pPr>
        <w:tabs>
          <w:tab w:val="num" w:pos="4320"/>
        </w:tabs>
        <w:ind w:left="4320" w:hanging="360"/>
      </w:pPr>
    </w:lvl>
    <w:lvl w:ilvl="7" w:tplc="6D62CE94" w:tentative="1">
      <w:start w:val="1"/>
      <w:numFmt w:val="lowerLetter"/>
      <w:lvlText w:val="%8."/>
      <w:lvlJc w:val="left"/>
      <w:pPr>
        <w:tabs>
          <w:tab w:val="num" w:pos="5040"/>
        </w:tabs>
        <w:ind w:left="5040" w:hanging="360"/>
      </w:pPr>
    </w:lvl>
    <w:lvl w:ilvl="8" w:tplc="B882EE0A" w:tentative="1">
      <w:start w:val="1"/>
      <w:numFmt w:val="lowerRoman"/>
      <w:lvlText w:val="%9."/>
      <w:lvlJc w:val="right"/>
      <w:pPr>
        <w:tabs>
          <w:tab w:val="num" w:pos="5760"/>
        </w:tabs>
        <w:ind w:left="5760" w:hanging="180"/>
      </w:pPr>
    </w:lvl>
  </w:abstractNum>
  <w:abstractNum w:abstractNumId="9"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5"/>
  </w:num>
  <w:num w:numId="3">
    <w:abstractNumId w:val="3"/>
  </w:num>
  <w:num w:numId="4">
    <w:abstractNumId w:val="12"/>
  </w:num>
  <w:num w:numId="5">
    <w:abstractNumId w:val="5"/>
  </w:num>
  <w:num w:numId="6">
    <w:abstractNumId w:val="9"/>
  </w:num>
  <w:num w:numId="7">
    <w:abstractNumId w:val="11"/>
  </w:num>
  <w:num w:numId="8">
    <w:abstractNumId w:val="0"/>
  </w:num>
  <w:num w:numId="9">
    <w:abstractNumId w:val="8"/>
  </w:num>
  <w:num w:numId="10">
    <w:abstractNumId w:val="6"/>
  </w:num>
  <w:num w:numId="11">
    <w:abstractNumId w:val="7"/>
  </w:num>
  <w:num w:numId="12">
    <w:abstractNumId w:val="10"/>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E8B"/>
    <w:rsid w:val="000E5DBE"/>
    <w:rsid w:val="000E6B0C"/>
    <w:rsid w:val="001169CA"/>
    <w:rsid w:val="00126D23"/>
    <w:rsid w:val="00160DCD"/>
    <w:rsid w:val="00191E8B"/>
    <w:rsid w:val="001C678B"/>
    <w:rsid w:val="001E360C"/>
    <w:rsid w:val="001F10CC"/>
    <w:rsid w:val="00266F9F"/>
    <w:rsid w:val="002D5FD1"/>
    <w:rsid w:val="00312838"/>
    <w:rsid w:val="003E747B"/>
    <w:rsid w:val="00433B5E"/>
    <w:rsid w:val="00441F4C"/>
    <w:rsid w:val="00460626"/>
    <w:rsid w:val="0046644C"/>
    <w:rsid w:val="004C4D6C"/>
    <w:rsid w:val="004E082A"/>
    <w:rsid w:val="00516EDA"/>
    <w:rsid w:val="00525BB9"/>
    <w:rsid w:val="00546DB5"/>
    <w:rsid w:val="00556A66"/>
    <w:rsid w:val="005834FA"/>
    <w:rsid w:val="005C3512"/>
    <w:rsid w:val="00604A1C"/>
    <w:rsid w:val="00614EC7"/>
    <w:rsid w:val="00617CF1"/>
    <w:rsid w:val="0062202F"/>
    <w:rsid w:val="00623BCA"/>
    <w:rsid w:val="00624726"/>
    <w:rsid w:val="0067692D"/>
    <w:rsid w:val="00677B5E"/>
    <w:rsid w:val="006C6740"/>
    <w:rsid w:val="006D34E9"/>
    <w:rsid w:val="006F2036"/>
    <w:rsid w:val="0072546F"/>
    <w:rsid w:val="007572FC"/>
    <w:rsid w:val="007D618F"/>
    <w:rsid w:val="0080046C"/>
    <w:rsid w:val="00861D5E"/>
    <w:rsid w:val="008738BF"/>
    <w:rsid w:val="008A6167"/>
    <w:rsid w:val="008B7933"/>
    <w:rsid w:val="008C01B2"/>
    <w:rsid w:val="008D1724"/>
    <w:rsid w:val="008E65C5"/>
    <w:rsid w:val="00923818"/>
    <w:rsid w:val="00926E28"/>
    <w:rsid w:val="00927A00"/>
    <w:rsid w:val="009727E0"/>
    <w:rsid w:val="009C1919"/>
    <w:rsid w:val="009C566B"/>
    <w:rsid w:val="00A035EA"/>
    <w:rsid w:val="00A40798"/>
    <w:rsid w:val="00B0263A"/>
    <w:rsid w:val="00B06D8B"/>
    <w:rsid w:val="00B12AC5"/>
    <w:rsid w:val="00B22348"/>
    <w:rsid w:val="00B62D67"/>
    <w:rsid w:val="00B65BC0"/>
    <w:rsid w:val="00B71CA8"/>
    <w:rsid w:val="00B74E39"/>
    <w:rsid w:val="00BB0C5B"/>
    <w:rsid w:val="00C41191"/>
    <w:rsid w:val="00C54659"/>
    <w:rsid w:val="00C777A5"/>
    <w:rsid w:val="00CF7470"/>
    <w:rsid w:val="00D02449"/>
    <w:rsid w:val="00D02C7D"/>
    <w:rsid w:val="00D03394"/>
    <w:rsid w:val="00D1503F"/>
    <w:rsid w:val="00D451DC"/>
    <w:rsid w:val="00D560FA"/>
    <w:rsid w:val="00D706B4"/>
    <w:rsid w:val="00DB2E4A"/>
    <w:rsid w:val="00DF1D74"/>
    <w:rsid w:val="00E930F3"/>
    <w:rsid w:val="00E93A17"/>
    <w:rsid w:val="00E94DA6"/>
    <w:rsid w:val="00EB3FB6"/>
    <w:rsid w:val="00ED04FC"/>
    <w:rsid w:val="00EE5DDA"/>
    <w:rsid w:val="00F24715"/>
    <w:rsid w:val="00FA1E83"/>
    <w:rsid w:val="00FC1C7E"/>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chartTrackingRefBased/>
  <w15:docId w15:val="{B4C00653-2078-4A40-A352-C01E3733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ItemList">
    <w:name w:val="Item List"/>
    <w:basedOn w:val="Normal"/>
    <w:rsid w:val="001C678B"/>
    <w:pPr>
      <w:spacing w:before="360" w:line="360" w:lineRule="auto"/>
      <w:ind w:left="720" w:hanging="720"/>
      <w:jc w:val="both"/>
    </w:pPr>
    <w:rPr>
      <w:rFonts w:eastAsia="Times New Roman"/>
      <w:szCs w:val="20"/>
    </w:rPr>
  </w:style>
  <w:style w:type="paragraph" w:styleId="Title">
    <w:name w:val="Title"/>
    <w:basedOn w:val="Normal"/>
    <w:link w:val="TitleChar"/>
    <w:qFormat/>
    <w:rsid w:val="00B06D8B"/>
    <w:pPr>
      <w:spacing w:before="480" w:after="480"/>
      <w:jc w:val="center"/>
    </w:pPr>
    <w:rPr>
      <w:rFonts w:eastAsia="Times New Roman"/>
      <w:b/>
      <w:snapToGrid w:val="0"/>
      <w:szCs w:val="20"/>
    </w:rPr>
  </w:style>
  <w:style w:type="character" w:customStyle="1" w:styleId="TitleChar">
    <w:name w:val="Title Char"/>
    <w:basedOn w:val="DefaultParagraphFont"/>
    <w:link w:val="Title"/>
    <w:rsid w:val="00B06D8B"/>
    <w:rPr>
      <w:rFonts w:eastAsia="Times New Roman"/>
      <w:b/>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2D46D-624C-431C-9628-715AF14D2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0</TotalTime>
  <Pages>8</Pages>
  <Words>1826</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Kramer, John</cp:lastModifiedBy>
  <cp:revision>2</cp:revision>
  <cp:lastPrinted>2017-03-02T15:58:00Z</cp:lastPrinted>
  <dcterms:created xsi:type="dcterms:W3CDTF">2017-03-06T15:37:00Z</dcterms:created>
  <dcterms:modified xsi:type="dcterms:W3CDTF">2017-03-06T15:37:00Z</dcterms:modified>
</cp:coreProperties>
</file>